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1E" w:rsidRDefault="00A61F1E">
      <w:pPr>
        <w:rPr>
          <w:rFonts w:ascii="Times New Roman" w:hAnsi="Times New Roman" w:cs="Times New Roman"/>
          <w:sz w:val="28"/>
          <w:szCs w:val="28"/>
          <w:lang w:val="en-US"/>
        </w:rPr>
      </w:pPr>
      <w:r>
        <w:rPr>
          <w:rFonts w:ascii="Times New Roman" w:hAnsi="Times New Roman" w:cs="Times New Roman"/>
          <w:sz w:val="28"/>
          <w:szCs w:val="28"/>
          <w:lang w:val="en-US"/>
        </w:rPr>
        <w:t>Translated from Russian into English</w:t>
      </w:r>
    </w:p>
    <w:p w:rsidR="00A61F1E" w:rsidRDefault="00A61F1E">
      <w:pPr>
        <w:rPr>
          <w:rFonts w:ascii="Times New Roman" w:hAnsi="Times New Roman" w:cs="Times New Roman"/>
          <w:sz w:val="28"/>
          <w:szCs w:val="28"/>
          <w:lang w:val="en-US"/>
        </w:rPr>
      </w:pPr>
    </w:p>
    <w:p w:rsidR="00A61F1E" w:rsidRDefault="00A61F1E">
      <w:pPr>
        <w:rPr>
          <w:rFonts w:ascii="Times New Roman" w:hAnsi="Times New Roman" w:cs="Times New Roman"/>
          <w:sz w:val="28"/>
          <w:szCs w:val="28"/>
          <w:lang w:val="en-US"/>
        </w:rPr>
      </w:pPr>
    </w:p>
    <w:p w:rsidR="00A61F1E" w:rsidRDefault="00A61F1E">
      <w:pPr>
        <w:rPr>
          <w:rFonts w:ascii="Times New Roman" w:hAnsi="Times New Roman" w:cs="Times New Roman"/>
          <w:sz w:val="28"/>
          <w:szCs w:val="28"/>
          <w:lang w:val="en-US"/>
        </w:rPr>
      </w:pPr>
    </w:p>
    <w:p w:rsidR="00A61F1E" w:rsidRDefault="00A61F1E">
      <w:pPr>
        <w:rPr>
          <w:rFonts w:ascii="Times New Roman" w:hAnsi="Times New Roman" w:cs="Times New Roman"/>
          <w:sz w:val="28"/>
          <w:szCs w:val="28"/>
          <w:lang w:val="en-US"/>
        </w:rPr>
      </w:pPr>
    </w:p>
    <w:p w:rsidR="00A61F1E" w:rsidRDefault="00A61F1E">
      <w:pPr>
        <w:rPr>
          <w:rFonts w:ascii="Times New Roman" w:hAnsi="Times New Roman" w:cs="Times New Roman"/>
          <w:sz w:val="28"/>
          <w:szCs w:val="28"/>
          <w:lang w:val="en-US"/>
        </w:rPr>
      </w:pPr>
    </w:p>
    <w:p w:rsidR="00A61F1E" w:rsidRDefault="00A61F1E">
      <w:pPr>
        <w:rPr>
          <w:rFonts w:ascii="Times New Roman" w:hAnsi="Times New Roman" w:cs="Times New Roman"/>
          <w:sz w:val="28"/>
          <w:szCs w:val="28"/>
          <w:lang w:val="en-US"/>
        </w:rPr>
      </w:pPr>
    </w:p>
    <w:p w:rsidR="00A61F1E" w:rsidRDefault="00A61F1E">
      <w:pPr>
        <w:rPr>
          <w:rFonts w:ascii="Times New Roman" w:hAnsi="Times New Roman" w:cs="Times New Roman"/>
          <w:sz w:val="28"/>
          <w:szCs w:val="28"/>
          <w:lang w:val="en-US"/>
        </w:rPr>
      </w:pPr>
    </w:p>
    <w:p w:rsidR="00A61F1E" w:rsidRDefault="00A61F1E">
      <w:pPr>
        <w:rPr>
          <w:rFonts w:ascii="Times New Roman" w:hAnsi="Times New Roman" w:cs="Times New Roman"/>
          <w:sz w:val="28"/>
          <w:szCs w:val="28"/>
          <w:lang w:val="en-US"/>
        </w:rPr>
      </w:pPr>
    </w:p>
    <w:p w:rsidR="00A61F1E" w:rsidRDefault="00A61F1E">
      <w:pP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Pr="00A61F1E" w:rsidRDefault="00A61F1E" w:rsidP="00A61F1E">
      <w:pPr>
        <w:jc w:val="center"/>
        <w:rPr>
          <w:rFonts w:ascii="Times New Roman" w:hAnsi="Times New Roman" w:cs="Times New Roman"/>
          <w:b/>
          <w:sz w:val="28"/>
          <w:szCs w:val="28"/>
          <w:lang w:val="en-US"/>
        </w:rPr>
      </w:pPr>
      <w:r w:rsidRPr="00A61F1E">
        <w:rPr>
          <w:rFonts w:ascii="Times New Roman" w:hAnsi="Times New Roman" w:cs="Times New Roman"/>
          <w:b/>
          <w:sz w:val="28"/>
          <w:szCs w:val="28"/>
          <w:lang w:val="en-US"/>
        </w:rPr>
        <w:t>STATUTE</w:t>
      </w: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of the </w:t>
      </w:r>
      <w:r w:rsidRPr="009503EC">
        <w:rPr>
          <w:rFonts w:ascii="Times New Roman" w:hAnsi="Times New Roman" w:cs="Times New Roman"/>
          <w:sz w:val="28"/>
          <w:szCs w:val="28"/>
          <w:lang w:val="en-US"/>
        </w:rPr>
        <w:t>Public organization</w:t>
      </w:r>
      <w:r>
        <w:rPr>
          <w:rFonts w:ascii="Times New Roman" w:hAnsi="Times New Roman" w:cs="Times New Roman"/>
          <w:sz w:val="28"/>
          <w:szCs w:val="28"/>
          <w:lang w:val="en-US"/>
        </w:rPr>
        <w:t xml:space="preserve"> “</w:t>
      </w:r>
      <w:r w:rsidRPr="009503EC">
        <w:rPr>
          <w:rFonts w:ascii="Times New Roman" w:hAnsi="Times New Roman" w:cs="Times New Roman"/>
          <w:sz w:val="28"/>
          <w:szCs w:val="28"/>
          <w:lang w:val="en-US"/>
        </w:rPr>
        <w:t>Alumni Association of the Ural Polytechnic Institute</w:t>
      </w:r>
      <w:r>
        <w:rPr>
          <w:rFonts w:ascii="Times New Roman" w:hAnsi="Times New Roman" w:cs="Times New Roman"/>
          <w:sz w:val="28"/>
          <w:szCs w:val="28"/>
          <w:lang w:val="en-US"/>
        </w:rPr>
        <w:t xml:space="preserve"> named after</w:t>
      </w:r>
      <w:r w:rsidRPr="009503EC">
        <w:rPr>
          <w:rFonts w:ascii="Times New Roman" w:hAnsi="Times New Roman" w:cs="Times New Roman"/>
          <w:sz w:val="28"/>
          <w:szCs w:val="28"/>
          <w:lang w:val="en-US"/>
        </w:rPr>
        <w:t xml:space="preserve"> S. M. Kirov, Ural State University named after A. M. Gorky and Ural Federal University named after the first President of Russia B. N. Yeltsin</w:t>
      </w:r>
      <w:r>
        <w:rPr>
          <w:rFonts w:ascii="Times New Roman" w:hAnsi="Times New Roman" w:cs="Times New Roman"/>
          <w:sz w:val="28"/>
          <w:szCs w:val="28"/>
          <w:lang w:val="en-US"/>
        </w:rPr>
        <w:t>”</w:t>
      </w: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bookmarkStart w:id="0" w:name="_GoBack"/>
      <w:bookmarkEnd w:id="0"/>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jc w:val="center"/>
        <w:rPr>
          <w:rFonts w:ascii="Times New Roman" w:hAnsi="Times New Roman" w:cs="Times New Roman"/>
          <w:sz w:val="28"/>
          <w:szCs w:val="28"/>
          <w:lang w:val="en-US"/>
        </w:rPr>
      </w:pPr>
    </w:p>
    <w:p w:rsidR="00A61F1E" w:rsidRDefault="00A61F1E" w:rsidP="00A61F1E">
      <w:pPr>
        <w:rPr>
          <w:rFonts w:ascii="Times New Roman" w:hAnsi="Times New Roman" w:cs="Times New Roman"/>
          <w:sz w:val="28"/>
          <w:szCs w:val="28"/>
          <w:lang w:val="en-US"/>
        </w:rPr>
      </w:pPr>
    </w:p>
    <w:p w:rsidR="00A61F1E" w:rsidRDefault="00A61F1E" w:rsidP="00A61F1E">
      <w:pPr>
        <w:rPr>
          <w:rFonts w:ascii="Times New Roman" w:hAnsi="Times New Roman" w:cs="Times New Roman"/>
          <w:sz w:val="28"/>
          <w:szCs w:val="28"/>
          <w:lang w:val="en-US"/>
        </w:rPr>
      </w:pPr>
    </w:p>
    <w:p w:rsidR="00A61F1E" w:rsidRPr="00A61F1E" w:rsidRDefault="00A61F1E" w:rsidP="00A61F1E">
      <w:pPr>
        <w:jc w:val="center"/>
        <w:rPr>
          <w:rFonts w:ascii="Times New Roman" w:hAnsi="Times New Roman" w:cs="Times New Roman"/>
          <w:sz w:val="28"/>
          <w:szCs w:val="28"/>
          <w:lang w:val="en-US"/>
        </w:rPr>
      </w:pPr>
      <w:r>
        <w:rPr>
          <w:rFonts w:ascii="Times New Roman" w:hAnsi="Times New Roman" w:cs="Times New Roman"/>
          <w:sz w:val="28"/>
          <w:szCs w:val="28"/>
          <w:lang w:val="en-US"/>
        </w:rPr>
        <w:t>Ekaterinburg</w:t>
      </w:r>
    </w:p>
    <w:p w:rsidR="00A61F1E" w:rsidRDefault="00A61F1E" w:rsidP="00A61F1E">
      <w:pPr>
        <w:jc w:val="center"/>
        <w:rPr>
          <w:rFonts w:ascii="Times New Roman" w:hAnsi="Times New Roman" w:cs="Times New Roman"/>
          <w:sz w:val="28"/>
          <w:szCs w:val="28"/>
          <w:lang w:val="en-US"/>
        </w:rPr>
      </w:pPr>
      <w:r>
        <w:rPr>
          <w:rFonts w:ascii="Times New Roman" w:hAnsi="Times New Roman" w:cs="Times New Roman"/>
          <w:sz w:val="28"/>
          <w:szCs w:val="28"/>
          <w:lang w:val="en-US"/>
        </w:rPr>
        <w:t>2012</w:t>
      </w:r>
      <w:r>
        <w:rPr>
          <w:rFonts w:ascii="Times New Roman" w:hAnsi="Times New Roman" w:cs="Times New Roman"/>
          <w:sz w:val="28"/>
          <w:szCs w:val="28"/>
          <w:lang w:val="en-US"/>
        </w:rPr>
        <w:br w:type="page"/>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lastRenderedPageBreak/>
        <w:t>GENERAL PROVISIONS</w:t>
      </w:r>
    </w:p>
    <w:p w:rsidR="009503EC" w:rsidRPr="009503EC" w:rsidRDefault="009503EC"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1.1. "Public organization</w:t>
      </w:r>
      <w:r w:rsidR="00A61F1E">
        <w:rPr>
          <w:rFonts w:ascii="Times New Roman" w:hAnsi="Times New Roman" w:cs="Times New Roman"/>
          <w:sz w:val="28"/>
          <w:szCs w:val="28"/>
          <w:lang w:val="en-US"/>
        </w:rPr>
        <w:t xml:space="preserve"> “</w:t>
      </w:r>
      <w:r w:rsidRPr="009503EC">
        <w:rPr>
          <w:rFonts w:ascii="Times New Roman" w:hAnsi="Times New Roman" w:cs="Times New Roman"/>
          <w:sz w:val="28"/>
          <w:szCs w:val="28"/>
          <w:lang w:val="en-US"/>
        </w:rPr>
        <w:t>Alumni Association of the Ural Polytechnic Institute. S. M. Kirov, GOU VPO "Ural State University named after A. M. Gorky and Ural Federal University named after the first President of Russia B. N. Yeltsin</w:t>
      </w:r>
      <w:r w:rsidR="00A61F1E">
        <w:rPr>
          <w:rFonts w:ascii="Times New Roman" w:hAnsi="Times New Roman" w:cs="Times New Roman"/>
          <w:sz w:val="28"/>
          <w:szCs w:val="28"/>
          <w:lang w:val="en-US"/>
        </w:rPr>
        <w:t>”</w:t>
      </w:r>
      <w:r w:rsidRPr="009503EC">
        <w:rPr>
          <w:rFonts w:ascii="Times New Roman" w:hAnsi="Times New Roman" w:cs="Times New Roman"/>
          <w:sz w:val="28"/>
          <w:szCs w:val="28"/>
          <w:lang w:val="en-US"/>
        </w:rPr>
        <w:t>, hereinafter referred to as the Association, is a public association based on membership, principles of voluntariness, equality and the rule of law.</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1.2. The abbreviated name - PA "Association of graduates of UPI, USU and Ural Federal University".</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1.3. The name of the Association in English is “Alumni association of Ural Federal University”.</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1.4. The Association is created and operates in accordance with the Civil Code of the Russian Federation, Federal Laws "On Public Associations", "On Non-Profit Organizations", the current legislation of the Russian Federation and this Charter.</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1.5. The association is not a legal entity.</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1.6. The association is a non-profit, non-political public organization.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1.7. The association is free in defining its goals, objectives, internal structure, forms and methods of its activities.</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1.8. Location of the permanent governing body of the Association (Management Board): Russian Federation, 620002, Sverdlovsk Region, Yekaterinburg, Mira 19 </w:t>
      </w:r>
      <w:proofErr w:type="spellStart"/>
      <w:r w:rsidRPr="009503EC">
        <w:rPr>
          <w:rFonts w:ascii="Times New Roman" w:hAnsi="Times New Roman" w:cs="Times New Roman"/>
          <w:sz w:val="28"/>
          <w:szCs w:val="28"/>
          <w:lang w:val="en-US"/>
        </w:rPr>
        <w:t>st.</w:t>
      </w:r>
      <w:proofErr w:type="spellEnd"/>
      <w:r w:rsidRPr="009503EC">
        <w:rPr>
          <w:rFonts w:ascii="Times New Roman" w:hAnsi="Times New Roman" w:cs="Times New Roman"/>
          <w:sz w:val="28"/>
          <w:szCs w:val="28"/>
          <w:lang w:val="en-US"/>
        </w:rPr>
        <w:t xml:space="preserve">, </w:t>
      </w:r>
      <w:proofErr w:type="spellStart"/>
      <w:r w:rsidRPr="009503EC">
        <w:rPr>
          <w:rFonts w:ascii="Times New Roman" w:hAnsi="Times New Roman" w:cs="Times New Roman"/>
          <w:sz w:val="28"/>
          <w:szCs w:val="28"/>
          <w:lang w:val="en-US"/>
        </w:rPr>
        <w:t>UrFU</w:t>
      </w:r>
      <w:proofErr w:type="spellEnd"/>
      <w:r w:rsidRPr="009503EC">
        <w:rPr>
          <w:rFonts w:ascii="Times New Roman" w:hAnsi="Times New Roman" w:cs="Times New Roman"/>
          <w:sz w:val="28"/>
          <w:szCs w:val="28"/>
          <w:lang w:val="en-US"/>
        </w:rPr>
        <w:t>, room I-322a.</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1.9. The Association has the right to establish representative offices on the territory of the Russian Federation and abroad. The activities of representative offices are carried out in accordance with the Regulations on Representative Offices and the Charter of the Association.</w:t>
      </w:r>
    </w:p>
    <w:p w:rsidR="009503EC" w:rsidRPr="009503EC" w:rsidRDefault="009503EC" w:rsidP="009503EC">
      <w:pPr>
        <w:jc w:val="both"/>
        <w:rPr>
          <w:rFonts w:ascii="Times New Roman" w:hAnsi="Times New Roman" w:cs="Times New Roman"/>
          <w:sz w:val="28"/>
          <w:szCs w:val="28"/>
          <w:lang w:val="en-US"/>
        </w:rPr>
      </w:pP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2. GOALS AND OBJECTIVES OF THE ASSOCIATION</w:t>
      </w:r>
    </w:p>
    <w:p w:rsidR="009503EC" w:rsidRPr="009503EC" w:rsidRDefault="009503EC"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2.1. The purpose of the Association is the development of a mutually beneficial partnership between the University and the community of its graduates to improve the quality of life.</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2.2. Tasks:</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unification of graduates of UPI, USU, USTU – UPI and Ural Federal University (hereinafter referred to as the University) of different generations;</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promoting the professional growth of graduates, students and employees of the University;</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increasing the public importance and recognition of the University in Russia and abroad, establishing and maintaining contacts with similar organizations in other countries;</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establishing links between the University, business and alumni;</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support for gifted applicants, students, scientists and teachers of the University;</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creation of conditions for the accumulation of financial and material resources necessary to implement the goals of the Association</w:t>
      </w:r>
      <w:r>
        <w:rPr>
          <w:rFonts w:ascii="Times New Roman" w:hAnsi="Times New Roman" w:cs="Times New Roman"/>
          <w:sz w:val="28"/>
          <w:szCs w:val="28"/>
          <w:lang w:val="en-US"/>
        </w:rPr>
        <w:t>;</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other tasks consistent with the objectives of the Association, not contrary to applicable law.</w:t>
      </w:r>
    </w:p>
    <w:p w:rsidR="009503EC" w:rsidRPr="009503EC" w:rsidRDefault="009503EC" w:rsidP="009503EC">
      <w:pPr>
        <w:jc w:val="both"/>
        <w:rPr>
          <w:rFonts w:ascii="Times New Roman" w:hAnsi="Times New Roman" w:cs="Times New Roman"/>
          <w:sz w:val="28"/>
          <w:szCs w:val="28"/>
          <w:lang w:val="en-US"/>
        </w:rPr>
      </w:pP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lastRenderedPageBreak/>
        <w:t>3. MEMBERS OF THE ASSOCIATION</w:t>
      </w:r>
    </w:p>
    <w:p w:rsidR="009503EC" w:rsidRPr="009503EC" w:rsidRDefault="009503EC"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3.1. The decision to establish the Association is taken at the General (Constituent) meeting of graduates who intend to create an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3.2. The Association is considered to be created from the moment of the approval by the General (Constituent) Alumni Meeting of the decision on the establishment, approval of its Charter, election of the Board, the Co-Chairs of the Board and the Audit Commission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3.3. Members of the Association may be individuals (individual members) who are graduates of the University, as well as non-profit organizations (collective members) recognizing the Articles of Association, wishing to contribute to the realization of the goals and objectives of the Association and paying membership dues. Members of the Association </w:t>
      </w:r>
      <w:proofErr w:type="spellStart"/>
      <w:r w:rsidRPr="009503EC">
        <w:rPr>
          <w:rFonts w:ascii="Times New Roman" w:hAnsi="Times New Roman" w:cs="Times New Roman"/>
          <w:sz w:val="28"/>
          <w:szCs w:val="28"/>
          <w:lang w:val="en-US"/>
        </w:rPr>
        <w:t>can not</w:t>
      </w:r>
      <w:proofErr w:type="spellEnd"/>
      <w:r w:rsidRPr="009503EC">
        <w:rPr>
          <w:rFonts w:ascii="Times New Roman" w:hAnsi="Times New Roman" w:cs="Times New Roman"/>
          <w:sz w:val="28"/>
          <w:szCs w:val="28"/>
          <w:lang w:val="en-US"/>
        </w:rPr>
        <w:t xml:space="preserve"> be persons and citizens referred to in Art. 19 of the Federal Law "On Public Associations".</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3.4. The number of members of the Association is unlimited.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3.5. The decision to become a member of the Association is taken by the Board of the Association on the basis of an application for membership in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3.6. The Association provides an honorary membership. Individuals who have made a significant contribution to the achievement of the goals of the Association can be accepted as honorary members. Admission to the honorary members is carried out by the Conference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3.7. Members of the Association have equal rights and obligations.</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3.8. Members of the Association have the right to:</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elect and be elected to the governing bodies of the Association (Management Board, Board Presidium), to the membership of the Audit Commission of the Association, and also participate in the management of the Association in other forms provided for by this Charter;</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come up with initiative</w:t>
      </w:r>
      <w:r w:rsidR="00A61F1E">
        <w:rPr>
          <w:rFonts w:ascii="Times New Roman" w:hAnsi="Times New Roman" w:cs="Times New Roman"/>
          <w:sz w:val="28"/>
          <w:szCs w:val="28"/>
          <w:lang w:val="en-US"/>
        </w:rPr>
        <w:t>s</w:t>
      </w:r>
      <w:r w:rsidRPr="009503EC">
        <w:rPr>
          <w:rFonts w:ascii="Times New Roman" w:hAnsi="Times New Roman" w:cs="Times New Roman"/>
          <w:sz w:val="28"/>
          <w:szCs w:val="28"/>
          <w:lang w:val="en-US"/>
        </w:rPr>
        <w:t xml:space="preserve"> on issues related to the implementation of the main goals and objectives of the Association to state authorities, supervisory and academic councils of the university;</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receive and use informational and methodological materials of the Association in its work, information about decisions of the Conference, the Board, the Presidium of the Board and the Directorate of the Association, planned events, programs and projects; • use all types of services provided by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make proposals on the agendas of conferences and meetings of the Board of the Association and participate in their discussion;</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offer members of the Association their own projects, including to seek funding;</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withdraw from the Association by notifying the Association's Board in writing;</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monitor the activities of the governing bodies of the Association in accordance with the Charter;</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Members of the Association may have other rights provided for by the current legislation, the Charter and other internal documents of the Association, in accordance with the legislation of the Russian Federation.</w:t>
      </w:r>
    </w:p>
    <w:p w:rsidR="009503EC" w:rsidRPr="009503EC" w:rsidRDefault="009503EC"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lastRenderedPageBreak/>
        <w:t>3.9. Members of the Association are obliged to:</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 actively contribute to the achievement of the goals and objectives of the Association, taking part in events held by the decision of the governing bodies of the Association, in the implementation of projects and programs of the Association; </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comply with the Charter of the Association and implement the decisions of the Conference, the Board, the Presidium of the Board of the Association;</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prevent acts that defame the honor and dignity of a university graduate and a member of the Association;</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pay membership fees on time;</w:t>
      </w:r>
    </w:p>
    <w:p w:rsidR="00A61F1E"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not interfere with the activities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Members of the Association may be assigned other duties that do not violate the current legislation.</w:t>
      </w:r>
    </w:p>
    <w:p w:rsidR="009503EC" w:rsidRPr="009503EC" w:rsidRDefault="009503EC" w:rsidP="009503EC">
      <w:pPr>
        <w:jc w:val="both"/>
        <w:rPr>
          <w:rFonts w:ascii="Times New Roman" w:hAnsi="Times New Roman" w:cs="Times New Roman"/>
          <w:sz w:val="28"/>
          <w:szCs w:val="28"/>
          <w:lang w:val="en-US"/>
        </w:rPr>
      </w:pP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 GOVERNING BODIES OF THE ASSOCIATION</w:t>
      </w:r>
    </w:p>
    <w:p w:rsidR="00A61F1E" w:rsidRPr="009503EC" w:rsidRDefault="00A61F1E"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4.1. The governing and executive bodies of the Association are: </w:t>
      </w:r>
      <w:proofErr w:type="gramStart"/>
      <w:r w:rsidRPr="009503EC">
        <w:rPr>
          <w:rFonts w:ascii="Times New Roman" w:hAnsi="Times New Roman" w:cs="Times New Roman"/>
          <w:sz w:val="28"/>
          <w:szCs w:val="28"/>
          <w:lang w:val="en-US"/>
        </w:rPr>
        <w:t>the</w:t>
      </w:r>
      <w:proofErr w:type="gramEnd"/>
      <w:r w:rsidRPr="009503EC">
        <w:rPr>
          <w:rFonts w:ascii="Times New Roman" w:hAnsi="Times New Roman" w:cs="Times New Roman"/>
          <w:sz w:val="28"/>
          <w:szCs w:val="28"/>
          <w:lang w:val="en-US"/>
        </w:rPr>
        <w:t xml:space="preserve"> Conference, the Board, the Presidium of the Board, the Co-Chairs, the Directorate. The conference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 The supreme governing body of the Association is the Conference of the Association, which is held at least once every 2 years.</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 The time, place, agenda, rate of representation of delegates to the Conference are determined by the Board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4.4. Any questions related to the activities of the Association may be brought up for discussion at the Conference.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4.5. Conference delegates are elected by members of the Alumni Association from the institutes that make up the university, the representative offices of the Association in accordance with the quota established by the Board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4.6. When selecting delegates allowed full-time and part-time voting.</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4.7. The conference of the Association is eligible if more than half of the elected delegates (quorum) are present at the conference.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4.8. Remote participation in the conference is allowed.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4.9. The exclusive competence of the Conference includes the resolution of the following issues: • amending the Charter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determination of the priorities of the Association, the principles of the formation and use of its property; • election of the governing bodies of the Association and early termination of their powers; • reorganization and liquidation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4.10. Decisions on matters within the exclusive competence of the Conference of Members shall be taken by a qualified majority of votes - at least 2/3 of the participants of the Conference, if there is a quorum.</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4.11. The competence of the Conference includes the following issues: • approval of the annual report; • participation in other organizations; • determination of the amount of entrance and annual membership fees; • admission to the honorary members of the Association.</w:t>
      </w:r>
    </w:p>
    <w:p w:rsidR="009503EC" w:rsidRPr="009503EC" w:rsidRDefault="009503EC"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lastRenderedPageBreak/>
        <w:t>4.12. Decisions on matters not related to the exclusive competence of the Conference shall be taken by a majority vote of the number of participants in the Conference, if there is a quorum. In the event of a tie vote, the Co-Chairs of the Board have the right to vote.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4.13. The form of voting is determined by the decision of the Conference.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4.14. The choice of co-chairmen is carried out according to the principle: one from graduates of the Ural State University and one from graduates of UPI or USTU-UPI.</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4.15. Members of the Association should be notified about the place and time of the conference, as well as the agenda of the Conference, no later than 30 days before the scheduled date of the Conference in the manner indicated by the graduate in the application.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4.16. An extraordinary Conference may be convened by decision of the Board of the Association. If a decision is made to hold an extraordinary Conference of the Members of the Association, such a meeting must be held no later than two months from the date of the decision to hold it.</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4.17. A protocol is kept at the Conference, which is signed by the chairman and secretary of the meeting.</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4.18. Between the Conferences, the Board is the governing body. </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4.19. The permanent governing body of the Association is the Board.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4.20. The Board is elected by direct delegation of the members of the Association from institutions approved by the Conference for a period of 2 years. People elected to the Board may be re-elected.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4.21. One graduate is elected to the Board - a member of the Association from each graduating department of the institute or from the faculty that existed prior to the merger of two universities. The position includes the chairmen of the Association’s offices, two</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Co-Chairman and Executive Director of the Association. (amended in accordance with the decision of the reporting and election meeting of January 22, 2017)</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4.22. Each co-chair may, on his own initiative, offer graduates of the UPI, Ural State University or </w:t>
      </w:r>
      <w:proofErr w:type="spellStart"/>
      <w:r w:rsidRPr="009503EC">
        <w:rPr>
          <w:rFonts w:ascii="Times New Roman" w:hAnsi="Times New Roman" w:cs="Times New Roman"/>
          <w:sz w:val="28"/>
          <w:szCs w:val="28"/>
          <w:lang w:val="en-US"/>
        </w:rPr>
        <w:t>UrFU</w:t>
      </w:r>
      <w:proofErr w:type="spellEnd"/>
      <w:r w:rsidRPr="009503EC">
        <w:rPr>
          <w:rFonts w:ascii="Times New Roman" w:hAnsi="Times New Roman" w:cs="Times New Roman"/>
          <w:sz w:val="28"/>
          <w:szCs w:val="28"/>
          <w:lang w:val="en-US"/>
        </w:rPr>
        <w:t xml:space="preserve"> to the board of the Association, but not more than 5 people from the co-chair.</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4.23. The Board has the right to resolve all issues that are not within the competence of the Conference.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4.24. The competence of the Management Board includes the following issues: • the establishment of representative offices of the Association; • making decisions on the participation of the Association in other organizations in accordance with current legislation; • organization of execution of decisions of the Conference of the Association; • preparation and submission to the Conference of a report on their work, informing the representative offices of the Association, graduates about their activities; • Representing the interests of the Association to state and local authorities; • appointment of the Executive Director of the Association as advised by the Co-Chairs of the Board;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4.25. The Board of the Association is competent if more than half of its members are present at the meeting. Remote participation in the meeting of the Board through the Internet connection is allowed.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lastRenderedPageBreak/>
        <w:t>4.26. Decisions are made by a majority vote of the number of members of the Board present at the meeting, if there is a quorum, taking into account the remote participation of in-person non-present members of the Board.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4.27. The Board meets at least once every three months. Board Presidium</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4.28. In the period between meetings of the Board, the elected collegial executive body of the Association is the Presidium of the Board.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4.29. The presidium of the Board is elected by the Board of the Association from among the members of the Board for a period of 2 years.</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4.30. The meeting of the Presidium of the Board of the Association is valid if more than half of its members are present at the meeting. The decision is made by simple majority of votes if there is a quorum.</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4.31. The competence of the Presidium of the Management Board includes the following issues: • admission and expulsion from the members of the Association; • approval of the internal documents of the Association, defining the procedure for the activities of the management bodies of the Association, the management bodies of representative offices; • convening a meeting of the Board, preparing the agenda and venue; • coordination and control over the activities of the representative offices of the Association, organization of the implementation of decisions of the Board of the Association; conducting advocacy work to highlight the activities of the Association; • approval of prospective and current work plans, regulations for the remote participation of graduates in the work of the Board, the Presidium of the Board, the Conference of the Association; • approval of estimates of income and expenses of the Alumni Association for the next financial year; • exercising other powers delegated by the Board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4.32. The meeting of the Presidium of the Board is chaired by one of the co-chairs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4.33. The decision of the Board Presidium is made in the form of a resolution. Session is recorded.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4.34. Co-Chairs of the Board are elected at the Conference for a period of 2 years. The co-chairmen of the Management Board are ex officio members of the Management Board, the Presidium of the Management Board and they are headed.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4.35. The Co-Chairs of the Board independently resolve all issues related to the activities of the Association, except for issues falling within the competence of the Conference, the Board and the Presidium of the Board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4.36. The co-chairs of the Board are accountable to the Conference of the Association and organize the implementation of its decisions.</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4.37. The Co-Chairs of the Management Board carry out the current management of the Association's activities and have the following rights and obligations: • act on behalf of the Association, represent its interests before government bodies and any third parties; • ensure the implementation of the decisions of the Conference; • distribute duties among the members of the Management Board, lead meetings of the Management Board; • work upon proposals for the development initiatives of the Association; • approve regulations and regulations on the establishment and operation of the Board, Directorate and other bodies of the Association; exercise other powers not related to the competence of the Conference, the Board and the Board Presidium. Directorate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lastRenderedPageBreak/>
        <w:t>4.38. The executive body of the Association is the Directorate. The Directorate acts on the basis of the Regulation on the Directorate, approved by the Board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4.39. The Directorate is headed by an executive director appointed by the Board on the proposal of the co-chairs of the Board.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4.40. The Executive Director is a member of the Board of Directors of the post.</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4.41. The Executive Director conducts the following activities: • carries out the current management of the activities of the Directorate;</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 organizes the implementation of decisions of the Board, the Board of the Board and the instructions of the Co-Chairmen of the Association in accordance with the Regulation on the Directorate; • manages the financial and material resources of the Association; • organizes the attraction of additional resources for the implementation of the statutory activities of the Association; • organizes the accounting and reporting activities of the Association; • organizes meetings of the Board, the Board </w:t>
      </w:r>
      <w:proofErr w:type="spellStart"/>
      <w:r w:rsidRPr="009503EC">
        <w:rPr>
          <w:rFonts w:ascii="Times New Roman" w:hAnsi="Times New Roman" w:cs="Times New Roman"/>
          <w:sz w:val="28"/>
          <w:szCs w:val="28"/>
          <w:lang w:val="en-US"/>
        </w:rPr>
        <w:t>Board</w:t>
      </w:r>
      <w:proofErr w:type="spellEnd"/>
      <w:r w:rsidRPr="009503EC">
        <w:rPr>
          <w:rFonts w:ascii="Times New Roman" w:hAnsi="Times New Roman" w:cs="Times New Roman"/>
          <w:sz w:val="28"/>
          <w:szCs w:val="28"/>
          <w:lang w:val="en-US"/>
        </w:rPr>
        <w:t xml:space="preserve"> and the Association Conference; • appoints and dismisses employees of the Directorate.</w:t>
      </w:r>
    </w:p>
    <w:p w:rsidR="00A61F1E" w:rsidRPr="009503EC" w:rsidRDefault="00A61F1E" w:rsidP="009503EC">
      <w:pPr>
        <w:jc w:val="both"/>
        <w:rPr>
          <w:rFonts w:ascii="Times New Roman" w:hAnsi="Times New Roman" w:cs="Times New Roman"/>
          <w:sz w:val="28"/>
          <w:szCs w:val="28"/>
          <w:lang w:val="en-US"/>
        </w:rPr>
      </w:pP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5. PROPERTY OF </w:t>
      </w:r>
      <w:r w:rsidR="00A61F1E">
        <w:rPr>
          <w:rFonts w:ascii="Times New Roman" w:hAnsi="Times New Roman" w:cs="Times New Roman"/>
          <w:sz w:val="28"/>
          <w:szCs w:val="28"/>
          <w:lang w:val="en-US"/>
        </w:rPr>
        <w:t xml:space="preserve">THE </w:t>
      </w:r>
      <w:r w:rsidRPr="009503EC">
        <w:rPr>
          <w:rFonts w:ascii="Times New Roman" w:hAnsi="Times New Roman" w:cs="Times New Roman"/>
          <w:sz w:val="28"/>
          <w:szCs w:val="28"/>
          <w:lang w:val="en-US"/>
        </w:rPr>
        <w:t>ASSOCIATION.</w:t>
      </w:r>
    </w:p>
    <w:p w:rsidR="00A61F1E" w:rsidRPr="009503EC" w:rsidRDefault="00A61F1E"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5.1. The activity of the Association of issues is carried out on voluntary donations and grants. Contributions of the Association members are voluntary, paid to the Fund for Assistance to the Implementation of </w:t>
      </w:r>
      <w:proofErr w:type="spellStart"/>
      <w:r w:rsidRPr="009503EC">
        <w:rPr>
          <w:rFonts w:ascii="Times New Roman" w:hAnsi="Times New Roman" w:cs="Times New Roman"/>
          <w:sz w:val="28"/>
          <w:szCs w:val="28"/>
          <w:lang w:val="en-US"/>
        </w:rPr>
        <w:t>UrFU</w:t>
      </w:r>
      <w:proofErr w:type="spellEnd"/>
      <w:r w:rsidRPr="009503EC">
        <w:rPr>
          <w:rFonts w:ascii="Times New Roman" w:hAnsi="Times New Roman" w:cs="Times New Roman"/>
          <w:sz w:val="28"/>
          <w:szCs w:val="28"/>
          <w:lang w:val="en-US"/>
        </w:rPr>
        <w:t xml:space="preserve"> Projects and its Alumni (the Fund) on the basis of a cooperation agreement between the Association and the Fund (amended in accordance with the decision of the election meeting of January 22, 2018)</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5.2. The funds indicated in clause 5.1 are used for the implementation of projects and the provision of the activities of the Association provided for by this Charter and the Charter of the Foundation.</w:t>
      </w:r>
    </w:p>
    <w:p w:rsidR="00A61F1E" w:rsidRPr="009503EC" w:rsidRDefault="00A61F1E" w:rsidP="009503EC">
      <w:pPr>
        <w:jc w:val="both"/>
        <w:rPr>
          <w:rFonts w:ascii="Times New Roman" w:hAnsi="Times New Roman" w:cs="Times New Roman"/>
          <w:sz w:val="28"/>
          <w:szCs w:val="28"/>
          <w:lang w:val="en-US"/>
        </w:rPr>
      </w:pP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6. RESPONSIBILITY OF THE ASSOCIATION</w:t>
      </w:r>
    </w:p>
    <w:p w:rsidR="00A61F1E" w:rsidRPr="009503EC" w:rsidRDefault="00A61F1E"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6.1. In case of violation of the legislation of the Russian Federation, the Association is responsible in accordance with the Federal Law “On Public Associations”.</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6.2. The association is not liable for the obligations of its members.</w:t>
      </w: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6.3. Members of the Association are not responsible for the obligations of the Association.</w:t>
      </w:r>
    </w:p>
    <w:p w:rsidR="00A61F1E" w:rsidRPr="009503EC" w:rsidRDefault="00A61F1E" w:rsidP="009503EC">
      <w:pPr>
        <w:jc w:val="both"/>
        <w:rPr>
          <w:rFonts w:ascii="Times New Roman" w:hAnsi="Times New Roman" w:cs="Times New Roman"/>
          <w:sz w:val="28"/>
          <w:szCs w:val="28"/>
          <w:lang w:val="en-US"/>
        </w:rPr>
      </w:pP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 AUDIT COMMISSION OF THE ASSOCIATION</w:t>
      </w:r>
    </w:p>
    <w:p w:rsidR="00A61F1E" w:rsidRPr="009503EC" w:rsidRDefault="00A61F1E"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7.1. The Audit Commission of the Association is an independent control and revision body, elected by the Conference for 2 years in the number of three members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7.2. In its activities, the Audit Commission is independent and accountable only to the Conference.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 xml:space="preserve">7.3. The Audit Commission conducts documentary audits (audits) of: • the activities of the Board, the Presidium of the Board, the co-chairs and the directors of the </w:t>
      </w:r>
      <w:r w:rsidRPr="009503EC">
        <w:rPr>
          <w:rFonts w:ascii="Times New Roman" w:hAnsi="Times New Roman" w:cs="Times New Roman"/>
          <w:sz w:val="28"/>
          <w:szCs w:val="28"/>
          <w:lang w:val="en-US"/>
        </w:rPr>
        <w:lastRenderedPageBreak/>
        <w:t>Association; • completeness of collection and timely transfer of membership fees; • targeted use of contributions; • the correctness of the preparation and execution of estimates; • preservation of cash and material values; • expediency of the expenses incurred.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7.4. The Audit Commission has the right to request in the Fund data on the availability of funds of the Association.</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7.5. The audit committee independently determines the frequency of meetings, the procedure for conducting inspections and audits. Audits are conducted if necessary, but at least once a year.</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7.6. According to the results of the audit of the financial and economic activities of the Board, an act is drawn up and signed by the chairman and members of the audit commission. The act of the Audit Commission is endorsed by the co-chairs of the Board of the Association, the executive director and submitted to the Board.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7.7. A member of the Audit Commission may not be a member of the Board, the Presidium of the Board.</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7.8. The audit commission elects a chairman from among its members.</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7.9. The Chairman of the Audit Commission may participate in meetings of the Board, the Presidium of the Board of the Association with the right of an advisory vote.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7.10. Disagreements between the Audit Commission, the Board, the Bureau of the Board, the co-chairs of the Association and the Foundation are considered and resolved by the Conference of the Association.</w:t>
      </w:r>
    </w:p>
    <w:p w:rsidR="009503EC" w:rsidRPr="009503EC" w:rsidRDefault="009503EC" w:rsidP="009503EC">
      <w:pPr>
        <w:jc w:val="both"/>
        <w:rPr>
          <w:rFonts w:ascii="Times New Roman" w:hAnsi="Times New Roman" w:cs="Times New Roman"/>
          <w:sz w:val="28"/>
          <w:szCs w:val="28"/>
          <w:lang w:val="en-US"/>
        </w:rPr>
      </w:pP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8. PROCEDURE FOR MAKING AMENDMENTS TO ESTABLISHMENT DOCUMENTS</w:t>
      </w:r>
    </w:p>
    <w:p w:rsidR="00A61F1E" w:rsidRPr="009503EC" w:rsidRDefault="00A61F1E"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8.1. The decision to make changes and additions to the Charter of the Association is taken by the Conference of the Members of the Association, subject to approval by 2/3 of the votes of the participants of the Conference, subject to the quorum.</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8.2. Changes or additions to the Charter of the Association come into force from the moment of their adoption by the Conference of the Members of the Association.</w:t>
      </w:r>
    </w:p>
    <w:p w:rsidR="009503EC" w:rsidRPr="009503EC" w:rsidRDefault="009503EC" w:rsidP="009503EC">
      <w:pPr>
        <w:jc w:val="both"/>
        <w:rPr>
          <w:rFonts w:ascii="Times New Roman" w:hAnsi="Times New Roman" w:cs="Times New Roman"/>
          <w:sz w:val="28"/>
          <w:szCs w:val="28"/>
          <w:lang w:val="en-US"/>
        </w:rPr>
      </w:pPr>
    </w:p>
    <w:p w:rsid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9. TERMINATION</w:t>
      </w:r>
    </w:p>
    <w:p w:rsidR="00A61F1E" w:rsidRPr="009503EC" w:rsidRDefault="00A61F1E" w:rsidP="009503EC">
      <w:pPr>
        <w:jc w:val="both"/>
        <w:rPr>
          <w:rFonts w:ascii="Times New Roman" w:hAnsi="Times New Roman" w:cs="Times New Roman"/>
          <w:sz w:val="28"/>
          <w:szCs w:val="28"/>
          <w:lang w:val="en-US"/>
        </w:rPr>
      </w:pP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9.1. The reorganization or liquidation of the Association is carried out on the basis of a decision of the Conference.</w:t>
      </w:r>
    </w:p>
    <w:p w:rsidR="009503EC" w:rsidRPr="009503EC" w:rsidRDefault="009503EC" w:rsidP="009503EC">
      <w:pPr>
        <w:jc w:val="both"/>
        <w:rPr>
          <w:rFonts w:ascii="Times New Roman" w:hAnsi="Times New Roman" w:cs="Times New Roman"/>
          <w:sz w:val="28"/>
          <w:szCs w:val="28"/>
          <w:lang w:val="en-US"/>
        </w:rPr>
      </w:pPr>
      <w:r w:rsidRPr="009503EC">
        <w:rPr>
          <w:rFonts w:ascii="Times New Roman" w:hAnsi="Times New Roman" w:cs="Times New Roman"/>
          <w:sz w:val="28"/>
          <w:szCs w:val="28"/>
          <w:lang w:val="en-US"/>
        </w:rPr>
        <w:t>9.2. Reorganization and liquidation of the Association is carried out in the manner prescribed by the current legislation of the Russian Federation.</w:t>
      </w:r>
    </w:p>
    <w:p w:rsidR="00C06F42" w:rsidRPr="009503EC" w:rsidRDefault="00C06F42" w:rsidP="009503EC">
      <w:pPr>
        <w:jc w:val="both"/>
        <w:rPr>
          <w:rFonts w:ascii="Times New Roman" w:hAnsi="Times New Roman" w:cs="Times New Roman"/>
          <w:sz w:val="28"/>
          <w:szCs w:val="28"/>
          <w:lang w:val="en-US"/>
        </w:rPr>
      </w:pPr>
    </w:p>
    <w:sectPr w:rsidR="00C06F42" w:rsidRPr="009503EC" w:rsidSect="00252A1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EC"/>
    <w:rsid w:val="00252A1A"/>
    <w:rsid w:val="009503EC"/>
    <w:rsid w:val="00A61F1E"/>
    <w:rsid w:val="00AD1F9C"/>
    <w:rsid w:val="00C0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C9096E6"/>
  <w15:chartTrackingRefBased/>
  <w15:docId w15:val="{009E357C-952A-B745-AE6B-D1012F28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Артемий Сергеевич</dc:creator>
  <cp:keywords/>
  <dc:description/>
  <cp:lastModifiedBy>Калугин Артемий Сергеевич</cp:lastModifiedBy>
  <cp:revision>1</cp:revision>
  <dcterms:created xsi:type="dcterms:W3CDTF">2019-03-22T07:40:00Z</dcterms:created>
  <dcterms:modified xsi:type="dcterms:W3CDTF">2019-03-22T07:57:00Z</dcterms:modified>
</cp:coreProperties>
</file>